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A58179" w14:textId="77777777" w:rsidR="008A7DDA" w:rsidRPr="00B8243C" w:rsidRDefault="008A7DDA" w:rsidP="008A7DDA">
      <w:pPr>
        <w:spacing w:after="40" w:line="240" w:lineRule="exact"/>
        <w:rPr>
          <w:rFonts w:cs="Times New Roman"/>
          <w:lang w:val="en-US"/>
        </w:rPr>
      </w:pPr>
    </w:p>
    <w:p w14:paraId="2F64F5F2" w14:textId="77777777" w:rsidR="008A7DDA" w:rsidRPr="00B8243C" w:rsidRDefault="00E056CA" w:rsidP="008A7DDA">
      <w:pPr>
        <w:ind w:left="20" w:right="5680"/>
        <w:rPr>
          <w:rFonts w:cs="Times New Roman"/>
          <w:sz w:val="2"/>
          <w:lang w:val="en-US"/>
        </w:rPr>
      </w:pPr>
      <w:r w:rsidRPr="00EC0627">
        <w:rPr>
          <w:noProof/>
          <w:lang w:bidi="ar-SA"/>
        </w:rPr>
        <w:drawing>
          <wp:inline distT="0" distB="0" distL="0" distR="0" wp14:anchorId="67E75FAF" wp14:editId="324E9E6F">
            <wp:extent cx="2520315" cy="691515"/>
            <wp:effectExtent l="0" t="0" r="0" b="0"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C0979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4D444883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4F9EB676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7CEEAD60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6CAA3C9" w14:textId="556ED6EA" w:rsidR="008B6E8C" w:rsidRDefault="00A8358D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</w:t>
            </w:r>
            <w:r w:rsidR="00C36A2B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3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</w:t>
            </w:r>
            <w:r w:rsidR="00C36A2B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3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76FA2477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7555F040" w14:textId="0968E7E2" w:rsidR="008A7DDA" w:rsidRPr="00B8243C" w:rsidRDefault="00E7405F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EVALUATION DES TRAVAUX</w:t>
            </w:r>
          </w:p>
        </w:tc>
      </w:tr>
    </w:tbl>
    <w:p w14:paraId="74F87ED9" w14:textId="77777777" w:rsidR="0050087F" w:rsidRDefault="0050087F" w:rsidP="0050087F">
      <w:pPr>
        <w:spacing w:line="240" w:lineRule="exact"/>
      </w:pPr>
    </w:p>
    <w:p w14:paraId="7C274496" w14:textId="41F1DAAA" w:rsidR="0050087F" w:rsidRDefault="0050087F" w:rsidP="0050087F">
      <w:pPr>
        <w:spacing w:after="120" w:line="240" w:lineRule="exact"/>
      </w:pPr>
    </w:p>
    <w:p w14:paraId="765E8704" w14:textId="77777777" w:rsidR="0050087F" w:rsidRDefault="0050087F" w:rsidP="0050087F">
      <w:pPr>
        <w:spacing w:after="120" w:line="240" w:lineRule="exact"/>
      </w:pPr>
    </w:p>
    <w:p w14:paraId="097F3524" w14:textId="77777777" w:rsidR="0050087F" w:rsidRDefault="0050087F" w:rsidP="0050087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MAÎTRISE D'OEUVRE</w:t>
      </w:r>
    </w:p>
    <w:p w14:paraId="70266949" w14:textId="77777777" w:rsidR="0050087F" w:rsidRDefault="0050087F" w:rsidP="0050087F">
      <w:pPr>
        <w:spacing w:line="240" w:lineRule="exact"/>
      </w:pPr>
    </w:p>
    <w:p w14:paraId="125A8B5C" w14:textId="77777777" w:rsidR="00C36A2B" w:rsidRDefault="00C36A2B" w:rsidP="00C36A2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36A2B" w14:paraId="59B88F0B" w14:textId="77777777" w:rsidTr="006516A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6A10138" w14:textId="77777777" w:rsidR="00C36A2B" w:rsidRDefault="00C36A2B" w:rsidP="006516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Maîtrise d'Oeuvre relative à la création d'un garage pour la base ERIS de la DISP de Dijon</w:t>
            </w:r>
          </w:p>
        </w:tc>
      </w:tr>
    </w:tbl>
    <w:p w14:paraId="185480B3" w14:textId="77777777" w:rsidR="00C36A2B" w:rsidRDefault="00C36A2B" w:rsidP="00C36A2B">
      <w:pPr>
        <w:spacing w:line="240" w:lineRule="exact"/>
      </w:pPr>
      <w:r>
        <w:t xml:space="preserve"> </w:t>
      </w:r>
    </w:p>
    <w:p w14:paraId="7CDA157C" w14:textId="190A7E01" w:rsidR="00C36A2B" w:rsidRDefault="00C36A2B" w:rsidP="00C36A2B">
      <w:pPr>
        <w:spacing w:after="180" w:line="240" w:lineRule="exact"/>
        <w:jc w:val="center"/>
      </w:pPr>
      <w:r>
        <w:t>DISPDIJ26001</w:t>
      </w:r>
    </w:p>
    <w:p w14:paraId="6AAE9D70" w14:textId="77777777" w:rsidR="00C36A2B" w:rsidRDefault="00C36A2B" w:rsidP="00C36A2B">
      <w:pPr>
        <w:spacing w:after="180" w:line="240" w:lineRule="exact"/>
      </w:pPr>
    </w:p>
    <w:p w14:paraId="55773AAB" w14:textId="77777777" w:rsidR="00C36A2B" w:rsidRDefault="00C36A2B" w:rsidP="00C36A2B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5A129F71" w14:textId="6DE1700C" w:rsidR="00C36A2B" w:rsidRDefault="00C36A2B" w:rsidP="00C36A2B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lundi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</w:t>
      </w:r>
      <w:r w:rsidR="00EB34AE">
        <w:rPr>
          <w:rFonts w:ascii="Trebuchet MS" w:eastAsia="Trebuchet MS" w:hAnsi="Trebuchet MS" w:cs="Trebuchet MS"/>
          <w:color w:val="000000"/>
        </w:rPr>
        <w:t>9 mars</w:t>
      </w:r>
      <w:r>
        <w:rPr>
          <w:rFonts w:ascii="Trebuchet MS" w:eastAsia="Trebuchet MS" w:hAnsi="Trebuchet MS" w:cs="Trebuchet MS"/>
          <w:color w:val="000000"/>
        </w:rPr>
        <w:t xml:space="preserve"> 2026 à 12:00</w:t>
      </w:r>
    </w:p>
    <w:p w14:paraId="2D633B54" w14:textId="77777777" w:rsidR="00C36A2B" w:rsidRDefault="00C36A2B" w:rsidP="008A7DDA">
      <w:pPr>
        <w:spacing w:line="240" w:lineRule="exact"/>
        <w:rPr>
          <w:rFonts w:cs="Times New Roman"/>
          <w:lang w:val="en-US"/>
        </w:rPr>
      </w:pPr>
    </w:p>
    <w:p w14:paraId="231D46FE" w14:textId="77777777" w:rsidR="00C36A2B" w:rsidRDefault="00C36A2B" w:rsidP="008A7DDA">
      <w:pPr>
        <w:spacing w:line="240" w:lineRule="exact"/>
        <w:rPr>
          <w:rFonts w:cs="Times New Roman"/>
          <w:lang w:val="en-US"/>
        </w:rPr>
      </w:pPr>
    </w:p>
    <w:p w14:paraId="422B42F3" w14:textId="77777777" w:rsidR="00C36A2B" w:rsidRDefault="007C5C1A" w:rsidP="007C5C1A">
      <w:pPr>
        <w:spacing w:line="240" w:lineRule="exact"/>
        <w:jc w:val="center"/>
        <w:rPr>
          <w:rFonts w:cs="Times New Roman"/>
          <w:b/>
          <w:bCs/>
          <w:color w:val="FF0000"/>
          <w:lang w:val="en-US"/>
        </w:rPr>
      </w:pPr>
      <w:r w:rsidRPr="007C5C1A">
        <w:rPr>
          <w:rFonts w:cs="Times New Roman"/>
          <w:b/>
          <w:bCs/>
          <w:color w:val="FF0000"/>
          <w:lang w:val="en-US"/>
        </w:rPr>
        <w:t xml:space="preserve">Les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candidats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devront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joindre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cette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annexe</w:t>
      </w:r>
      <w:proofErr w:type="spellEnd"/>
      <w:r>
        <w:rPr>
          <w:rFonts w:cs="Times New Roman"/>
          <w:b/>
          <w:bCs/>
          <w:color w:val="FF0000"/>
          <w:lang w:val="en-US"/>
        </w:rPr>
        <w:t>,</w:t>
      </w:r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dûment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complétée</w:t>
      </w:r>
      <w:proofErr w:type="spellEnd"/>
      <w:r>
        <w:rPr>
          <w:rFonts w:cs="Times New Roman"/>
          <w:b/>
          <w:bCs/>
          <w:color w:val="FF0000"/>
          <w:lang w:val="en-US"/>
        </w:rPr>
        <w:t>,</w:t>
      </w:r>
    </w:p>
    <w:p w14:paraId="5FF2E353" w14:textId="4290A589" w:rsidR="00716B35" w:rsidRPr="007C5C1A" w:rsidRDefault="007C5C1A" w:rsidP="007C5C1A">
      <w:pPr>
        <w:spacing w:line="240" w:lineRule="exact"/>
        <w:jc w:val="center"/>
        <w:rPr>
          <w:rFonts w:cs="Times New Roman"/>
          <w:b/>
          <w:bCs/>
          <w:color w:val="FF0000"/>
          <w:lang w:val="en-US"/>
        </w:rPr>
      </w:pPr>
      <w:r w:rsidRPr="007C5C1A">
        <w:rPr>
          <w:rFonts w:cs="Times New Roman"/>
          <w:b/>
          <w:bCs/>
          <w:color w:val="FF0000"/>
          <w:lang w:val="en-US"/>
        </w:rPr>
        <w:t xml:space="preserve"> à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l’appui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de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leur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offre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sous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peine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d’irrégularité</w:t>
      </w:r>
      <w:proofErr w:type="spellEnd"/>
    </w:p>
    <w:p w14:paraId="0407E137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3D57AA5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672E7749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7CA327BF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1A38D0BC" w14:textId="77777777" w:rsidR="0045515A" w:rsidRPr="00C75495" w:rsidRDefault="0045515A" w:rsidP="008A7DDA">
      <w:pPr>
        <w:spacing w:line="240" w:lineRule="exact"/>
        <w:rPr>
          <w:rFonts w:cs="Times New Roman"/>
          <w:lang w:val="en-US"/>
        </w:rPr>
      </w:pPr>
    </w:p>
    <w:p w14:paraId="10AC8A00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4636E35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2BC4311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B65C16F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19BAAC7F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2978509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07B788A5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2701DDBC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0DA44D3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733206BF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6139C532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004EFA17" w14:textId="77777777" w:rsidR="008A7DDA" w:rsidRDefault="008A7DDA"/>
    <w:p w14:paraId="70DCFF8C" w14:textId="11BE7F7C" w:rsidR="008A7DDA" w:rsidRDefault="008A7DDA"/>
    <w:p w14:paraId="542D8406" w14:textId="712EBB0F" w:rsidR="00E7405F" w:rsidRDefault="00E7405F"/>
    <w:p w14:paraId="6CBD2235" w14:textId="77777777" w:rsidR="00C36A2B" w:rsidRDefault="00C36A2B"/>
    <w:p w14:paraId="28CB2955" w14:textId="14FD7786" w:rsidR="00E7405F" w:rsidRDefault="00E7405F"/>
    <w:p w14:paraId="36B75200" w14:textId="79928198" w:rsidR="00587B04" w:rsidRDefault="002E3BB2" w:rsidP="002E3BB2">
      <w:pPr>
        <w:jc w:val="both"/>
        <w:rPr>
          <w:rFonts w:ascii="Trebuchet MS" w:hAnsi="Trebuchet MS"/>
          <w:sz w:val="28"/>
          <w:szCs w:val="26"/>
        </w:rPr>
      </w:pPr>
      <w:r w:rsidRPr="008737D8">
        <w:rPr>
          <w:rFonts w:ascii="Trebuchet MS" w:hAnsi="Trebuchet MS"/>
          <w:sz w:val="28"/>
          <w:szCs w:val="26"/>
        </w:rPr>
        <w:lastRenderedPageBreak/>
        <w:t xml:space="preserve">Dans le cadre de cette consultation, les candidats sont invités à faire connaître leur avis sur le montant de l’enveloppe consacrée aux travaux prévue par le Maître d’ouvrage </w:t>
      </w:r>
      <w:r w:rsidR="008737D8" w:rsidRPr="00680143">
        <w:rPr>
          <w:rFonts w:ascii="Trebuchet MS" w:hAnsi="Trebuchet MS"/>
          <w:sz w:val="28"/>
          <w:szCs w:val="26"/>
          <w:highlight w:val="yellow"/>
        </w:rPr>
        <w:t>(</w:t>
      </w:r>
      <w:r w:rsidR="000E17CB">
        <w:rPr>
          <w:rFonts w:ascii="Trebuchet MS" w:hAnsi="Trebuchet MS"/>
          <w:sz w:val="28"/>
          <w:szCs w:val="26"/>
          <w:highlight w:val="yellow"/>
        </w:rPr>
        <w:t>660</w:t>
      </w:r>
      <w:r w:rsidR="008737D8" w:rsidRPr="00680143">
        <w:rPr>
          <w:rFonts w:ascii="Trebuchet MS" w:hAnsi="Trebuchet MS"/>
          <w:sz w:val="28"/>
          <w:szCs w:val="26"/>
          <w:highlight w:val="yellow"/>
        </w:rPr>
        <w:t xml:space="preserve"> k€ HT)</w:t>
      </w:r>
      <w:r w:rsidR="008737D8">
        <w:rPr>
          <w:rFonts w:ascii="Trebuchet MS" w:hAnsi="Trebuchet MS"/>
          <w:sz w:val="28"/>
          <w:szCs w:val="26"/>
        </w:rPr>
        <w:t xml:space="preserve"> </w:t>
      </w:r>
      <w:r w:rsidRPr="008737D8">
        <w:rPr>
          <w:rFonts w:ascii="Trebuchet MS" w:hAnsi="Trebuchet MS"/>
          <w:sz w:val="28"/>
          <w:szCs w:val="26"/>
        </w:rPr>
        <w:t>et à préciser leur propre estimation de l’enveloppe qui leur paraît la plus adaptée</w:t>
      </w:r>
      <w:r w:rsidR="000527C7">
        <w:rPr>
          <w:rFonts w:ascii="Trebuchet MS" w:hAnsi="Trebuchet MS"/>
          <w:sz w:val="28"/>
          <w:szCs w:val="26"/>
        </w:rPr>
        <w:t xml:space="preserve"> e</w:t>
      </w:r>
      <w:r w:rsidR="00003D0C">
        <w:rPr>
          <w:rFonts w:ascii="Trebuchet MS" w:hAnsi="Trebuchet MS"/>
          <w:sz w:val="28"/>
          <w:szCs w:val="26"/>
        </w:rPr>
        <w:t>n s</w:t>
      </w:r>
      <w:r w:rsidR="008737D8">
        <w:rPr>
          <w:rFonts w:ascii="Trebuchet MS" w:hAnsi="Trebuchet MS"/>
          <w:sz w:val="28"/>
          <w:szCs w:val="26"/>
        </w:rPr>
        <w:t xml:space="preserve">e fondant sur les </w:t>
      </w:r>
      <w:r w:rsidR="00003D0C">
        <w:rPr>
          <w:rFonts w:ascii="Trebuchet MS" w:hAnsi="Trebuchet MS"/>
          <w:sz w:val="28"/>
          <w:szCs w:val="26"/>
        </w:rPr>
        <w:t xml:space="preserve">seuls </w:t>
      </w:r>
      <w:r w:rsidR="008737D8">
        <w:rPr>
          <w:rFonts w:ascii="Trebuchet MS" w:hAnsi="Trebuchet MS"/>
          <w:sz w:val="28"/>
          <w:szCs w:val="26"/>
        </w:rPr>
        <w:t xml:space="preserve">éléments contenus dans le dossier de consultation </w:t>
      </w:r>
      <w:r w:rsidR="00587B04">
        <w:rPr>
          <w:rFonts w:ascii="Trebuchet MS" w:hAnsi="Trebuchet MS"/>
          <w:sz w:val="28"/>
          <w:szCs w:val="26"/>
        </w:rPr>
        <w:t>ou</w:t>
      </w:r>
      <w:r w:rsidR="008737D8">
        <w:rPr>
          <w:rFonts w:ascii="Trebuchet MS" w:hAnsi="Trebuchet MS"/>
          <w:sz w:val="28"/>
          <w:szCs w:val="26"/>
        </w:rPr>
        <w:t xml:space="preserve"> </w:t>
      </w:r>
      <w:r w:rsidR="00587B04">
        <w:rPr>
          <w:rFonts w:ascii="Trebuchet MS" w:hAnsi="Trebuchet MS"/>
          <w:sz w:val="28"/>
          <w:szCs w:val="26"/>
        </w:rPr>
        <w:t>sur les constats qu’ils auront faits</w:t>
      </w:r>
      <w:r w:rsidR="00003D0C">
        <w:rPr>
          <w:rFonts w:ascii="Trebuchet MS" w:hAnsi="Trebuchet MS"/>
          <w:sz w:val="28"/>
          <w:szCs w:val="26"/>
        </w:rPr>
        <w:t xml:space="preserve"> au cours de</w:t>
      </w:r>
      <w:r w:rsidR="008737D8">
        <w:rPr>
          <w:rFonts w:ascii="Trebuchet MS" w:hAnsi="Trebuchet MS"/>
          <w:sz w:val="28"/>
          <w:szCs w:val="26"/>
        </w:rPr>
        <w:t xml:space="preserve"> l</w:t>
      </w:r>
      <w:r w:rsidR="00587B04">
        <w:rPr>
          <w:rFonts w:ascii="Trebuchet MS" w:hAnsi="Trebuchet MS"/>
          <w:sz w:val="28"/>
          <w:szCs w:val="26"/>
        </w:rPr>
        <w:t>eur</w:t>
      </w:r>
      <w:r w:rsidR="008737D8">
        <w:rPr>
          <w:rFonts w:ascii="Trebuchet MS" w:hAnsi="Trebuchet MS"/>
          <w:sz w:val="28"/>
          <w:szCs w:val="26"/>
        </w:rPr>
        <w:t xml:space="preserve"> visite </w:t>
      </w:r>
      <w:r w:rsidR="00003D0C">
        <w:rPr>
          <w:rFonts w:ascii="Trebuchet MS" w:hAnsi="Trebuchet MS"/>
          <w:sz w:val="28"/>
          <w:szCs w:val="26"/>
        </w:rPr>
        <w:t>d</w:t>
      </w:r>
      <w:r w:rsidR="00587B04">
        <w:rPr>
          <w:rFonts w:ascii="Trebuchet MS" w:hAnsi="Trebuchet MS"/>
          <w:sz w:val="28"/>
          <w:szCs w:val="26"/>
        </w:rPr>
        <w:t>u</w:t>
      </w:r>
      <w:r w:rsidR="00003D0C">
        <w:rPr>
          <w:rFonts w:ascii="Trebuchet MS" w:hAnsi="Trebuchet MS"/>
          <w:sz w:val="28"/>
          <w:szCs w:val="26"/>
        </w:rPr>
        <w:t xml:space="preserve"> site</w:t>
      </w:r>
      <w:r w:rsidR="00587B04">
        <w:rPr>
          <w:rFonts w:ascii="Trebuchet MS" w:hAnsi="Trebuchet MS"/>
          <w:sz w:val="28"/>
          <w:szCs w:val="26"/>
        </w:rPr>
        <w:t>,</w:t>
      </w:r>
      <w:r w:rsidR="00003D0C">
        <w:rPr>
          <w:rFonts w:ascii="Trebuchet MS" w:hAnsi="Trebuchet MS"/>
          <w:sz w:val="28"/>
          <w:szCs w:val="26"/>
        </w:rPr>
        <w:t xml:space="preserve"> </w:t>
      </w:r>
      <w:r w:rsidR="008737D8">
        <w:rPr>
          <w:rFonts w:ascii="Trebuchet MS" w:hAnsi="Trebuchet MS"/>
          <w:sz w:val="28"/>
          <w:szCs w:val="26"/>
        </w:rPr>
        <w:t>le cas échéant</w:t>
      </w:r>
      <w:r w:rsidR="000527C7">
        <w:rPr>
          <w:rFonts w:ascii="Trebuchet MS" w:hAnsi="Trebuchet MS"/>
          <w:sz w:val="28"/>
          <w:szCs w:val="26"/>
        </w:rPr>
        <w:t>.</w:t>
      </w:r>
    </w:p>
    <w:p w14:paraId="50A73660" w14:textId="77777777" w:rsidR="00587B04" w:rsidRDefault="00587B04" w:rsidP="002E3BB2">
      <w:pPr>
        <w:jc w:val="both"/>
        <w:rPr>
          <w:rFonts w:ascii="Trebuchet MS" w:hAnsi="Trebuchet MS"/>
          <w:sz w:val="28"/>
          <w:szCs w:val="26"/>
        </w:rPr>
      </w:pPr>
    </w:p>
    <w:p w14:paraId="5ADF1AC2" w14:textId="7AEB5151" w:rsidR="00E7405F" w:rsidRDefault="00587B04" w:rsidP="002E3BB2">
      <w:pPr>
        <w:jc w:val="both"/>
        <w:rPr>
          <w:rFonts w:ascii="Trebuchet MS" w:hAnsi="Trebuchet MS"/>
          <w:sz w:val="28"/>
          <w:szCs w:val="26"/>
        </w:rPr>
      </w:pPr>
      <w:r>
        <w:rPr>
          <w:rFonts w:ascii="Trebuchet MS" w:hAnsi="Trebuchet MS"/>
          <w:sz w:val="28"/>
          <w:szCs w:val="26"/>
        </w:rPr>
        <w:t xml:space="preserve">Cette </w:t>
      </w:r>
      <w:r w:rsidR="00D61CBE">
        <w:rPr>
          <w:rFonts w:ascii="Trebuchet MS" w:hAnsi="Trebuchet MS"/>
          <w:sz w:val="28"/>
          <w:szCs w:val="26"/>
        </w:rPr>
        <w:t>estimation, dite « à grosse maille »,</w:t>
      </w:r>
      <w:r>
        <w:rPr>
          <w:rFonts w:ascii="Trebuchet MS" w:hAnsi="Trebuchet MS"/>
          <w:sz w:val="28"/>
          <w:szCs w:val="26"/>
        </w:rPr>
        <w:t xml:space="preserve"> ne doit pas représenter un travail conséquent de leur part, et n’est pas destiné</w:t>
      </w:r>
      <w:r w:rsidR="00D61CBE">
        <w:rPr>
          <w:rFonts w:ascii="Trebuchet MS" w:hAnsi="Trebuchet MS"/>
          <w:sz w:val="28"/>
          <w:szCs w:val="26"/>
        </w:rPr>
        <w:t>e</w:t>
      </w:r>
      <w:r>
        <w:rPr>
          <w:rFonts w:ascii="Trebuchet MS" w:hAnsi="Trebuchet MS"/>
          <w:sz w:val="28"/>
          <w:szCs w:val="26"/>
        </w:rPr>
        <w:t xml:space="preserve"> à anticipe</w:t>
      </w:r>
      <w:r w:rsidR="00D61CBE">
        <w:rPr>
          <w:rFonts w:ascii="Trebuchet MS" w:hAnsi="Trebuchet MS"/>
          <w:sz w:val="28"/>
          <w:szCs w:val="26"/>
        </w:rPr>
        <w:t>r ou remplacer</w:t>
      </w:r>
      <w:r>
        <w:rPr>
          <w:rFonts w:ascii="Trebuchet MS" w:hAnsi="Trebuchet MS"/>
          <w:sz w:val="28"/>
          <w:szCs w:val="26"/>
        </w:rPr>
        <w:t xml:space="preserve"> l’évaluation plus fine qui sera demandée au stade des études</w:t>
      </w:r>
      <w:r w:rsidR="00D61CBE">
        <w:rPr>
          <w:rFonts w:ascii="Trebuchet MS" w:hAnsi="Trebuchet MS"/>
          <w:sz w:val="28"/>
          <w:szCs w:val="26"/>
        </w:rPr>
        <w:t xml:space="preserve"> en cours d’exécution du contrat</w:t>
      </w:r>
      <w:r>
        <w:rPr>
          <w:rFonts w:ascii="Trebuchet MS" w:hAnsi="Trebuchet MS"/>
          <w:sz w:val="28"/>
          <w:szCs w:val="26"/>
        </w:rPr>
        <w:t xml:space="preserve">. </w:t>
      </w:r>
    </w:p>
    <w:p w14:paraId="4C7FE670" w14:textId="61B83AF1" w:rsidR="00587B04" w:rsidRDefault="00587B04" w:rsidP="002E3BB2">
      <w:pPr>
        <w:jc w:val="both"/>
        <w:rPr>
          <w:rFonts w:ascii="Trebuchet MS" w:hAnsi="Trebuchet MS"/>
          <w:sz w:val="28"/>
          <w:szCs w:val="26"/>
        </w:rPr>
      </w:pPr>
    </w:p>
    <w:p w14:paraId="73BA0ABC" w14:textId="2E84A18B" w:rsidR="00587B04" w:rsidRPr="007C5C1A" w:rsidRDefault="00587B04" w:rsidP="002E3BB2">
      <w:pPr>
        <w:jc w:val="both"/>
        <w:rPr>
          <w:rFonts w:ascii="Trebuchet MS" w:hAnsi="Trebuchet MS"/>
          <w:color w:val="FF0000"/>
          <w:sz w:val="28"/>
          <w:szCs w:val="26"/>
        </w:rPr>
      </w:pPr>
      <w:r>
        <w:rPr>
          <w:rFonts w:ascii="Trebuchet MS" w:hAnsi="Trebuchet MS"/>
          <w:sz w:val="28"/>
          <w:szCs w:val="26"/>
        </w:rPr>
        <w:t xml:space="preserve">L’évaluation qui proposée </w:t>
      </w:r>
      <w:r w:rsidR="007C5C1A">
        <w:rPr>
          <w:rFonts w:ascii="Trebuchet MS" w:hAnsi="Trebuchet MS"/>
          <w:sz w:val="28"/>
          <w:szCs w:val="26"/>
        </w:rPr>
        <w:t xml:space="preserve">ci-dessous </w:t>
      </w:r>
      <w:r>
        <w:rPr>
          <w:rFonts w:ascii="Trebuchet MS" w:hAnsi="Trebuchet MS"/>
          <w:sz w:val="28"/>
          <w:szCs w:val="26"/>
        </w:rPr>
        <w:t>n’engagera pas le candidat, n’aura aucune valeur contractuelle et n’entrera pas dans l’évaluation des offres qui seront remises dans le cadre de la consultation.</w:t>
      </w:r>
      <w:r w:rsidR="007C5C1A" w:rsidRPr="007C5C1A">
        <w:t xml:space="preserve"> </w:t>
      </w:r>
      <w:r w:rsidR="007C5C1A" w:rsidRPr="007C5C1A">
        <w:rPr>
          <w:rFonts w:ascii="Trebuchet MS" w:hAnsi="Trebuchet MS"/>
          <w:color w:val="FF0000"/>
          <w:sz w:val="28"/>
          <w:szCs w:val="26"/>
        </w:rPr>
        <w:t>Toutefois,</w:t>
      </w:r>
      <w:r w:rsidR="007C5C1A" w:rsidRPr="007C5C1A">
        <w:rPr>
          <w:color w:val="FF0000"/>
        </w:rPr>
        <w:t xml:space="preserve"> </w:t>
      </w:r>
      <w:r w:rsidR="007C5C1A" w:rsidRPr="007C5C1A">
        <w:rPr>
          <w:rFonts w:ascii="Trebuchet MS" w:hAnsi="Trebuchet MS"/>
          <w:color w:val="FF0000"/>
          <w:sz w:val="28"/>
          <w:szCs w:val="26"/>
        </w:rPr>
        <w:t>cette estimation est obligatoire et l’absence de cette annexe dûment complétée par les candidats rendra leur offre irrégulière.</w:t>
      </w:r>
    </w:p>
    <w:p w14:paraId="0A5F08DF" w14:textId="037FDE43" w:rsidR="00D61CBE" w:rsidRDefault="00D61CBE" w:rsidP="002E3BB2">
      <w:pPr>
        <w:jc w:val="both"/>
        <w:rPr>
          <w:rFonts w:ascii="Trebuchet MS" w:hAnsi="Trebuchet MS"/>
          <w:sz w:val="28"/>
          <w:szCs w:val="26"/>
        </w:rPr>
      </w:pPr>
    </w:p>
    <w:p w14:paraId="5B7E6517" w14:textId="77777777" w:rsidR="007C5C1A" w:rsidRDefault="007C5C1A" w:rsidP="002E3BB2">
      <w:pPr>
        <w:jc w:val="both"/>
        <w:rPr>
          <w:rFonts w:ascii="Trebuchet MS" w:hAnsi="Trebuchet MS"/>
          <w:sz w:val="28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4821"/>
      </w:tblGrid>
      <w:tr w:rsidR="00D61CBE" w14:paraId="3ADBE0ED" w14:textId="77777777" w:rsidTr="00D61CBE">
        <w:tc>
          <w:tcPr>
            <w:tcW w:w="5097" w:type="dxa"/>
            <w:shd w:val="clear" w:color="auto" w:fill="E7E6E6" w:themeFill="background2"/>
          </w:tcPr>
          <w:p w14:paraId="66EB5524" w14:textId="77777777" w:rsidR="00D61CBE" w:rsidRPr="00D61CBE" w:rsidRDefault="00D61CBE" w:rsidP="00D61CBE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61CBE">
              <w:rPr>
                <w:rFonts w:ascii="Trebuchet MS" w:hAnsi="Trebuchet MS"/>
                <w:b/>
                <w:bCs/>
                <w:sz w:val="22"/>
                <w:szCs w:val="22"/>
              </w:rPr>
              <w:t>Estimation de l’enveloppe travaux nécessaire à la réalisation du programme</w:t>
            </w:r>
          </w:p>
          <w:p w14:paraId="460B55E4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  <w:tc>
          <w:tcPr>
            <w:tcW w:w="4821" w:type="dxa"/>
          </w:tcPr>
          <w:p w14:paraId="3BEAD436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</w:tr>
      <w:tr w:rsidR="00D61CBE" w14:paraId="17FD9754" w14:textId="77777777" w:rsidTr="00D61CBE">
        <w:tc>
          <w:tcPr>
            <w:tcW w:w="509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D8E88E" w14:textId="4AD64F0B" w:rsidR="00D61CBE" w:rsidRPr="00D61CBE" w:rsidRDefault="00D61CBE" w:rsidP="002E3BB2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61CBE">
              <w:rPr>
                <w:rFonts w:ascii="Trebuchet MS" w:hAnsi="Trebuchet MS"/>
                <w:b/>
                <w:bCs/>
                <w:sz w:val="22"/>
                <w:szCs w:val="22"/>
              </w:rPr>
              <w:t>Commentaires sur l’enveloppe travaux prévue par le MOA</w:t>
            </w:r>
          </w:p>
          <w:p w14:paraId="2050BE9D" w14:textId="6D2E21F0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  <w:tc>
          <w:tcPr>
            <w:tcW w:w="4821" w:type="dxa"/>
          </w:tcPr>
          <w:p w14:paraId="025DA7DB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747E280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6FDAE265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27299CFB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28335C7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031A64B1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2951B28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4E80539F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384C312D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AF2E8EE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06F144E5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4AD50B2" w14:textId="33DED72A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</w:tr>
    </w:tbl>
    <w:p w14:paraId="1B3DFF8A" w14:textId="09EFAA7F" w:rsidR="00D61CBE" w:rsidRDefault="00D61CBE" w:rsidP="002E3BB2">
      <w:pPr>
        <w:jc w:val="both"/>
        <w:rPr>
          <w:rFonts w:ascii="Trebuchet MS" w:hAnsi="Trebuchet MS"/>
          <w:sz w:val="28"/>
          <w:szCs w:val="26"/>
        </w:rPr>
      </w:pPr>
    </w:p>
    <w:p w14:paraId="27BEDAD7" w14:textId="77777777" w:rsidR="00E7405F" w:rsidRDefault="00E7405F"/>
    <w:sectPr w:rsidR="00E7405F">
      <w:pgSz w:w="11906" w:h="16838"/>
      <w:pgMar w:top="794" w:right="851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4182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03D0C"/>
    <w:rsid w:val="00020726"/>
    <w:rsid w:val="000405C3"/>
    <w:rsid w:val="000527C7"/>
    <w:rsid w:val="00077DA4"/>
    <w:rsid w:val="00085EC3"/>
    <w:rsid w:val="000B7302"/>
    <w:rsid w:val="000C50BF"/>
    <w:rsid w:val="000E17CB"/>
    <w:rsid w:val="0015006F"/>
    <w:rsid w:val="001B47F5"/>
    <w:rsid w:val="001D030D"/>
    <w:rsid w:val="001F141D"/>
    <w:rsid w:val="002B2D5E"/>
    <w:rsid w:val="002E3BB2"/>
    <w:rsid w:val="00351AA0"/>
    <w:rsid w:val="00387D06"/>
    <w:rsid w:val="0045515A"/>
    <w:rsid w:val="0050087F"/>
    <w:rsid w:val="00553ECE"/>
    <w:rsid w:val="00587B04"/>
    <w:rsid w:val="006645D2"/>
    <w:rsid w:val="00671196"/>
    <w:rsid w:val="00680143"/>
    <w:rsid w:val="00695199"/>
    <w:rsid w:val="007159BD"/>
    <w:rsid w:val="00716B35"/>
    <w:rsid w:val="007A32AA"/>
    <w:rsid w:val="007C5C1A"/>
    <w:rsid w:val="008737D8"/>
    <w:rsid w:val="00877AF8"/>
    <w:rsid w:val="008A56E9"/>
    <w:rsid w:val="008A7DDA"/>
    <w:rsid w:val="008B1DE3"/>
    <w:rsid w:val="008B6E8C"/>
    <w:rsid w:val="008F5C03"/>
    <w:rsid w:val="00900F7F"/>
    <w:rsid w:val="00964004"/>
    <w:rsid w:val="009A6F15"/>
    <w:rsid w:val="00A07101"/>
    <w:rsid w:val="00A5393C"/>
    <w:rsid w:val="00A8358D"/>
    <w:rsid w:val="00B62282"/>
    <w:rsid w:val="00BA3839"/>
    <w:rsid w:val="00BE76AB"/>
    <w:rsid w:val="00C36A2B"/>
    <w:rsid w:val="00D215C4"/>
    <w:rsid w:val="00D61CBE"/>
    <w:rsid w:val="00E056CA"/>
    <w:rsid w:val="00E17DB4"/>
    <w:rsid w:val="00E213E1"/>
    <w:rsid w:val="00E7405F"/>
    <w:rsid w:val="00E86130"/>
    <w:rsid w:val="00E97B2F"/>
    <w:rsid w:val="00EB34AE"/>
    <w:rsid w:val="00ED3A0E"/>
    <w:rsid w:val="00ED7B51"/>
    <w:rsid w:val="00F04699"/>
    <w:rsid w:val="00F114A1"/>
    <w:rsid w:val="00F97E2C"/>
    <w:rsid w:val="00FB79F5"/>
    <w:rsid w:val="00F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7BC5B9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D61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LECHENAULT Murielle</cp:lastModifiedBy>
  <cp:revision>9</cp:revision>
  <cp:lastPrinted>2015-11-23T08:32:00Z</cp:lastPrinted>
  <dcterms:created xsi:type="dcterms:W3CDTF">2024-03-25T11:14:00Z</dcterms:created>
  <dcterms:modified xsi:type="dcterms:W3CDTF">2026-01-23T10:37:00Z</dcterms:modified>
</cp:coreProperties>
</file>